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B15" w:rsidRPr="0095704C" w:rsidRDefault="008B1B15" w:rsidP="0095704C">
      <w:pPr>
        <w:pStyle w:val="NormalWeb"/>
        <w:shd w:val="clear" w:color="auto" w:fill="FFFFFF"/>
        <w:spacing w:before="120" w:beforeAutospacing="0" w:after="120" w:afterAutospacing="0" w:line="360" w:lineRule="auto"/>
        <w:ind w:firstLine="720"/>
        <w:jc w:val="both"/>
        <w:rPr>
          <w:rFonts w:asciiTheme="majorHAnsi" w:hAnsiTheme="majorHAnsi" w:cs="Arial"/>
          <w:color w:val="000000" w:themeColor="text1"/>
        </w:rPr>
      </w:pPr>
      <w:bookmarkStart w:id="0" w:name="_GoBack"/>
      <w:bookmarkEnd w:id="0"/>
      <w:r w:rsidRPr="00B555DD">
        <w:rPr>
          <w:rFonts w:asciiTheme="majorHAnsi" w:hAnsiTheme="majorHAnsi" w:cs="Arial"/>
          <w:b/>
          <w:color w:val="4F81BD" w:themeColor="accent1"/>
          <w:spacing w:val="2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In </w:t>
      </w:r>
      <w:hyperlink r:id="rId8" w:tooltip="Economics" w:history="1">
        <w:r w:rsidRPr="00B555DD">
          <w:rPr>
            <w:rStyle w:val="Hyperlink"/>
            <w:rFonts w:asciiTheme="majorHAnsi" w:hAnsiTheme="majorHAnsi" w:cs="Arial"/>
            <w:b/>
            <w:color w:val="4F81BD" w:themeColor="accent1"/>
            <w:spacing w:val="20"/>
            <w:u w:val="none"/>
            <w14:shadow w14:blurRad="60007" w14:dist="310007" w14:dir="7680000" w14:sx="100000" w14:sy="30000" w14:kx="1300200" w14:ky="0" w14:algn="ctr">
              <w14:srgbClr w14:val="000000">
                <w14:alpha w14:val="68000"/>
              </w14:srgbClr>
            </w14:shadow>
            <w14:reflection w14:blurRad="6350" w14:stA="55000" w14:stPos="0" w14:endA="50" w14:endPos="85000" w14:dist="60007" w14:dir="5400000" w14:fadeDir="5400000" w14:sx="100000" w14:sy="-100000" w14:kx="0" w14:ky="0" w14:algn="bl"/>
            <w14:textOutline w14:w="9004" w14:cap="flat" w14:cmpd="sng" w14:algn="ctr">
              <w14:solidFill>
                <w14:schemeClr w14:val="accent1">
                  <w14:satMod w14:val="200000"/>
                  <w14:tint w14:val="72000"/>
                </w14:schemeClr>
              </w14:solidFill>
              <w14:prstDash w14:val="solid"/>
              <w14:round/>
            </w14:textOutline>
            <w14:textFill>
              <w14:solidFill>
                <w14:schemeClr w14:val="accent1">
                  <w14:alpha w14:val="94300"/>
                  <w14:satMod w14:val="280000"/>
                  <w14:tint w14:val="100000"/>
                </w14:schemeClr>
              </w14:solidFill>
            </w14:textFill>
          </w:rPr>
          <w:t>economics</w:t>
        </w:r>
      </w:hyperlink>
      <w:r w:rsidRPr="00B555DD">
        <w:rPr>
          <w:rFonts w:asciiTheme="majorHAnsi" w:hAnsiTheme="majorHAnsi" w:cs="Arial"/>
          <w:b/>
          <w:color w:val="4F81BD" w:themeColor="accent1"/>
          <w:spacing w:val="2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, </w:t>
      </w:r>
      <w:r w:rsidRPr="00B555DD">
        <w:rPr>
          <w:rFonts w:asciiTheme="majorHAnsi" w:hAnsiTheme="majorHAnsi" w:cs="Arial"/>
          <w:b/>
          <w:bCs/>
          <w:color w:val="4F81BD" w:themeColor="accent1"/>
          <w:spacing w:val="2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inflation</w:t>
      </w:r>
      <w:r w:rsidRPr="00B555DD">
        <w:rPr>
          <w:rFonts w:asciiTheme="majorHAnsi" w:hAnsiTheme="majorHAnsi" w:cs="Arial"/>
          <w:b/>
          <w:color w:val="4F81BD" w:themeColor="accent1"/>
          <w:spacing w:val="2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 refers to a general progressive increase in prices of goods and services in an economy. When the general price level rises, each unit of currency buys fewer goods and services; consequently, inflation corresponds to a reduction in the </w:t>
      </w:r>
      <w:hyperlink r:id="rId9" w:tooltip="Purchasing power" w:history="1">
        <w:r w:rsidRPr="00B555DD">
          <w:rPr>
            <w:rStyle w:val="Hyperlink"/>
            <w:rFonts w:asciiTheme="majorHAnsi" w:hAnsiTheme="majorHAnsi" w:cs="Arial"/>
            <w:b/>
            <w:color w:val="4F81BD" w:themeColor="accent1"/>
            <w:spacing w:val="20"/>
            <w:u w:val="none"/>
            <w14:shadow w14:blurRad="60007" w14:dist="310007" w14:dir="7680000" w14:sx="100000" w14:sy="30000" w14:kx="1300200" w14:ky="0" w14:algn="ctr">
              <w14:srgbClr w14:val="000000">
                <w14:alpha w14:val="68000"/>
              </w14:srgbClr>
            </w14:shadow>
            <w14:reflection w14:blurRad="6350" w14:stA="55000" w14:stPos="0" w14:endA="50" w14:endPos="85000" w14:dist="60007" w14:dir="5400000" w14:fadeDir="5400000" w14:sx="100000" w14:sy="-100000" w14:kx="0" w14:ky="0" w14:algn="bl"/>
            <w14:textOutline w14:w="9004" w14:cap="flat" w14:cmpd="sng" w14:algn="ctr">
              <w14:solidFill>
                <w14:schemeClr w14:val="accent1">
                  <w14:satMod w14:val="200000"/>
                  <w14:tint w14:val="72000"/>
                </w14:schemeClr>
              </w14:solidFill>
              <w14:prstDash w14:val="solid"/>
              <w14:round/>
            </w14:textOutline>
            <w14:textFill>
              <w14:solidFill>
                <w14:schemeClr w14:val="accent1">
                  <w14:alpha w14:val="94300"/>
                  <w14:satMod w14:val="280000"/>
                  <w14:tint w14:val="100000"/>
                </w14:schemeClr>
              </w14:solidFill>
            </w14:textFill>
          </w:rPr>
          <w:t>purchasing power</w:t>
        </w:r>
      </w:hyperlink>
      <w:r w:rsidR="00CD552E" w:rsidRPr="00B555DD">
        <w:rPr>
          <w:rFonts w:asciiTheme="majorHAnsi" w:hAnsiTheme="majorHAnsi" w:cs="Arial"/>
          <w:b/>
          <w:color w:val="4F81BD" w:themeColor="accent1"/>
          <w:spacing w:val="2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 xml:space="preserve"> of money. The </w:t>
      </w:r>
      <w:r w:rsidR="00DA5081" w:rsidRPr="00B555DD">
        <w:rPr>
          <w:rFonts w:asciiTheme="majorHAnsi" w:hAnsiTheme="majorHAnsi" w:cs="Arial"/>
          <w:b/>
          <w:color w:val="4F81BD" w:themeColor="accent1"/>
          <w:spacing w:val="2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opposite</w:t>
      </w:r>
      <w:r w:rsidRPr="00B555DD">
        <w:rPr>
          <w:rFonts w:asciiTheme="majorHAnsi" w:hAnsiTheme="majorHAnsi" w:cs="Arial"/>
          <w:b/>
          <w:color w:val="4F81BD" w:themeColor="accent1"/>
          <w:spacing w:val="2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 xml:space="preserve"> of inflation is </w:t>
      </w:r>
      <w:hyperlink r:id="rId10" w:tooltip="Deflation" w:history="1">
        <w:r w:rsidRPr="00B555DD">
          <w:rPr>
            <w:rStyle w:val="Hyperlink"/>
            <w:rFonts w:asciiTheme="majorHAnsi" w:hAnsiTheme="majorHAnsi" w:cs="Arial"/>
            <w:b/>
            <w:color w:val="4F81BD" w:themeColor="accent1"/>
            <w:spacing w:val="20"/>
            <w:u w:val="none"/>
            <w14:shadow w14:blurRad="60007" w14:dist="310007" w14:dir="7680000" w14:sx="100000" w14:sy="30000" w14:kx="1300200" w14:ky="0" w14:algn="ctr">
              <w14:srgbClr w14:val="000000">
                <w14:alpha w14:val="68000"/>
              </w14:srgbClr>
            </w14:shadow>
            <w14:reflection w14:blurRad="6350" w14:stA="55000" w14:stPos="0" w14:endA="50" w14:endPos="85000" w14:dist="60007" w14:dir="5400000" w14:fadeDir="5400000" w14:sx="100000" w14:sy="-100000" w14:kx="0" w14:ky="0" w14:algn="bl"/>
            <w14:textOutline w14:w="9004" w14:cap="flat" w14:cmpd="sng" w14:algn="ctr">
              <w14:solidFill>
                <w14:schemeClr w14:val="accent1">
                  <w14:satMod w14:val="200000"/>
                  <w14:tint w14:val="72000"/>
                </w14:schemeClr>
              </w14:solidFill>
              <w14:prstDash w14:val="solid"/>
              <w14:round/>
            </w14:textOutline>
            <w14:textFill>
              <w14:solidFill>
                <w14:schemeClr w14:val="accent1">
                  <w14:alpha w14:val="94300"/>
                  <w14:satMod w14:val="280000"/>
                  <w14:tint w14:val="100000"/>
                </w14:schemeClr>
              </w14:solidFill>
            </w14:textFill>
          </w:rPr>
          <w:t>deflation</w:t>
        </w:r>
      </w:hyperlink>
      <w:r w:rsidRPr="00B555DD">
        <w:rPr>
          <w:rFonts w:asciiTheme="majorHAnsi" w:hAnsiTheme="majorHAnsi" w:cs="Arial"/>
          <w:b/>
          <w:color w:val="4F81BD" w:themeColor="accent1"/>
          <w:spacing w:val="2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, a sustained decrease in the general price level of goods and services. The common measure of inflation is the </w:t>
      </w:r>
      <w:r w:rsidRPr="00B555DD">
        <w:rPr>
          <w:rFonts w:asciiTheme="majorHAnsi" w:hAnsiTheme="majorHAnsi" w:cs="Arial"/>
          <w:b/>
          <w:bCs/>
          <w:color w:val="4F81BD" w:themeColor="accent1"/>
          <w:spacing w:val="2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inflation rate</w:t>
      </w:r>
      <w:r w:rsidRPr="00B555DD">
        <w:rPr>
          <w:rFonts w:asciiTheme="majorHAnsi" w:hAnsiTheme="majorHAnsi" w:cs="Arial"/>
          <w:b/>
          <w:color w:val="4F81BD" w:themeColor="accent1"/>
          <w:spacing w:val="2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 xml:space="preserve">, the </w:t>
      </w:r>
      <w:r w:rsidR="00DA5081" w:rsidRPr="00B555DD">
        <w:rPr>
          <w:rFonts w:asciiTheme="majorHAnsi" w:hAnsiTheme="majorHAnsi" w:cs="Arial"/>
          <w:b/>
          <w:color w:val="4F81BD" w:themeColor="accent1"/>
          <w:spacing w:val="2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annualized</w:t>
      </w:r>
      <w:r w:rsidRPr="00B555DD">
        <w:rPr>
          <w:rFonts w:asciiTheme="majorHAnsi" w:hAnsiTheme="majorHAnsi" w:cs="Arial"/>
          <w:b/>
          <w:color w:val="4F81BD" w:themeColor="accent1"/>
          <w:spacing w:val="2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 xml:space="preserve"> percentage change in a general </w:t>
      </w:r>
      <w:hyperlink r:id="rId11" w:tooltip="Price index" w:history="1">
        <w:r w:rsidRPr="00B555DD">
          <w:rPr>
            <w:rStyle w:val="Hyperlink"/>
            <w:rFonts w:asciiTheme="majorHAnsi" w:hAnsiTheme="majorHAnsi" w:cs="Arial"/>
            <w:b/>
            <w:color w:val="4F81BD" w:themeColor="accent1"/>
            <w:spacing w:val="20"/>
            <w:u w:val="none"/>
            <w14:shadow w14:blurRad="60007" w14:dist="310007" w14:dir="7680000" w14:sx="100000" w14:sy="30000" w14:kx="1300200" w14:ky="0" w14:algn="ctr">
              <w14:srgbClr w14:val="000000">
                <w14:alpha w14:val="68000"/>
              </w14:srgbClr>
            </w14:shadow>
            <w14:reflection w14:blurRad="6350" w14:stA="55000" w14:stPos="0" w14:endA="50" w14:endPos="85000" w14:dist="60007" w14:dir="5400000" w14:fadeDir="5400000" w14:sx="100000" w14:sy="-100000" w14:kx="0" w14:ky="0" w14:algn="bl"/>
            <w14:textOutline w14:w="9004" w14:cap="flat" w14:cmpd="sng" w14:algn="ctr">
              <w14:solidFill>
                <w14:schemeClr w14:val="accent1">
                  <w14:satMod w14:val="200000"/>
                  <w14:tint w14:val="72000"/>
                </w14:schemeClr>
              </w14:solidFill>
              <w14:prstDash w14:val="solid"/>
              <w14:round/>
            </w14:textOutline>
            <w14:textFill>
              <w14:solidFill>
                <w14:schemeClr w14:val="accent1">
                  <w14:alpha w14:val="94300"/>
                  <w14:satMod w14:val="280000"/>
                  <w14:tint w14:val="100000"/>
                </w14:schemeClr>
              </w14:solidFill>
            </w14:textFill>
          </w:rPr>
          <w:t>price index</w:t>
        </w:r>
      </w:hyperlink>
      <w:r w:rsidRPr="00B555DD">
        <w:rPr>
          <w:rFonts w:asciiTheme="majorHAnsi" w:hAnsiTheme="majorHAnsi" w:cs="Arial"/>
          <w:b/>
          <w:color w:val="4F81BD" w:themeColor="accent1"/>
          <w:spacing w:val="2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.</w:t>
      </w:r>
      <w:r w:rsidRPr="0095704C">
        <w:rPr>
          <w:rFonts w:asciiTheme="majorHAnsi" w:hAnsiTheme="majorHAnsi" w:cs="Arial"/>
          <w:color w:val="000000" w:themeColor="text1"/>
        </w:rPr>
        <w:t xml:space="preserve"> </w:t>
      </w:r>
    </w:p>
    <w:p w:rsidR="008B1B15" w:rsidRPr="0095704C" w:rsidRDefault="008B1B15" w:rsidP="0095704C">
      <w:pPr>
        <w:pStyle w:val="NormalWeb"/>
        <w:shd w:val="clear" w:color="auto" w:fill="FFFFFF"/>
        <w:spacing w:before="120" w:beforeAutospacing="0" w:after="120" w:afterAutospacing="0" w:line="360" w:lineRule="auto"/>
        <w:ind w:firstLine="720"/>
        <w:jc w:val="both"/>
        <w:rPr>
          <w:rFonts w:asciiTheme="majorHAnsi" w:hAnsiTheme="majorHAnsi" w:cs="Arial"/>
          <w:color w:val="000000" w:themeColor="text1"/>
        </w:rPr>
      </w:pPr>
      <w:r w:rsidRPr="0095704C">
        <w:rPr>
          <w:rFonts w:asciiTheme="majorHAnsi" w:hAnsiTheme="majorHAnsi" w:cs="Arial"/>
          <w:color w:val="000000" w:themeColor="text1"/>
        </w:rPr>
        <w:t>Prices will not all increase at the same rates. Attaching a representative value to a set of prices is an instance of the </w:t>
      </w:r>
      <w:hyperlink r:id="rId12" w:tooltip="Index (economics)" w:history="1">
        <w:r w:rsidRPr="0095704C">
          <w:rPr>
            <w:rStyle w:val="Hyperlink"/>
            <w:rFonts w:asciiTheme="majorHAnsi" w:hAnsiTheme="majorHAnsi" w:cs="Arial"/>
            <w:color w:val="000000" w:themeColor="text1"/>
            <w:u w:val="none"/>
          </w:rPr>
          <w:t>index number problem</w:t>
        </w:r>
      </w:hyperlink>
      <w:r w:rsidRPr="0095704C">
        <w:rPr>
          <w:rFonts w:asciiTheme="majorHAnsi" w:hAnsiTheme="majorHAnsi" w:cs="Arial"/>
          <w:color w:val="000000" w:themeColor="text1"/>
        </w:rPr>
        <w:t>. The </w:t>
      </w:r>
      <w:hyperlink r:id="rId13" w:tooltip="Consumer price index" w:history="1">
        <w:r w:rsidRPr="0095704C">
          <w:rPr>
            <w:rStyle w:val="Hyperlink"/>
            <w:rFonts w:asciiTheme="majorHAnsi" w:hAnsiTheme="majorHAnsi" w:cs="Arial"/>
            <w:color w:val="000000" w:themeColor="text1"/>
            <w:u w:val="none"/>
          </w:rPr>
          <w:t>consumer price index</w:t>
        </w:r>
      </w:hyperlink>
      <w:r w:rsidRPr="0095704C">
        <w:rPr>
          <w:rFonts w:asciiTheme="majorHAnsi" w:hAnsiTheme="majorHAnsi" w:cs="Arial"/>
          <w:color w:val="000000" w:themeColor="text1"/>
        </w:rPr>
        <w:t> is often used for this purpose; the </w:t>
      </w:r>
      <w:hyperlink r:id="rId14" w:tooltip="Employment cost index" w:history="1">
        <w:r w:rsidRPr="0095704C">
          <w:rPr>
            <w:rStyle w:val="Hyperlink"/>
            <w:rFonts w:asciiTheme="majorHAnsi" w:hAnsiTheme="majorHAnsi" w:cs="Arial"/>
            <w:color w:val="000000" w:themeColor="text1"/>
            <w:u w:val="none"/>
          </w:rPr>
          <w:t>employment cost index</w:t>
        </w:r>
      </w:hyperlink>
      <w:r w:rsidRPr="0095704C">
        <w:rPr>
          <w:rFonts w:asciiTheme="majorHAnsi" w:hAnsiTheme="majorHAnsi" w:cs="Arial"/>
          <w:color w:val="000000" w:themeColor="text1"/>
        </w:rPr>
        <w:t> is used for wages in the United States. Differential movement between consumer prices and wages constitutes a change in the </w:t>
      </w:r>
      <w:hyperlink r:id="rId15" w:tooltip="Standard of living" w:history="1">
        <w:r w:rsidRPr="0095704C">
          <w:rPr>
            <w:rStyle w:val="Hyperlink"/>
            <w:rFonts w:asciiTheme="majorHAnsi" w:hAnsiTheme="majorHAnsi" w:cs="Arial"/>
            <w:color w:val="000000" w:themeColor="text1"/>
            <w:u w:val="none"/>
          </w:rPr>
          <w:t>standard of living</w:t>
        </w:r>
      </w:hyperlink>
      <w:r w:rsidRPr="0095704C">
        <w:rPr>
          <w:rFonts w:asciiTheme="majorHAnsi" w:hAnsiTheme="majorHAnsi" w:cs="Arial"/>
          <w:color w:val="000000" w:themeColor="text1"/>
        </w:rPr>
        <w:t>.</w:t>
      </w:r>
    </w:p>
    <w:p w:rsidR="008B1B15" w:rsidRPr="0095704C" w:rsidRDefault="008B1B15" w:rsidP="0095704C">
      <w:pPr>
        <w:pStyle w:val="NormalWeb"/>
        <w:shd w:val="clear" w:color="auto" w:fill="FFFFFF"/>
        <w:spacing w:before="120" w:beforeAutospacing="0" w:after="120" w:afterAutospacing="0" w:line="360" w:lineRule="auto"/>
        <w:ind w:firstLine="720"/>
        <w:jc w:val="both"/>
        <w:rPr>
          <w:rFonts w:asciiTheme="majorHAnsi" w:hAnsiTheme="majorHAnsi" w:cs="Arial"/>
          <w:color w:val="000000" w:themeColor="text1"/>
        </w:rPr>
      </w:pPr>
      <w:r w:rsidRPr="0095704C">
        <w:rPr>
          <w:rFonts w:asciiTheme="majorHAnsi" w:hAnsiTheme="majorHAnsi" w:cs="Arial"/>
          <w:color w:val="000000" w:themeColor="text1"/>
        </w:rPr>
        <w:t>The causes of inflation have been much discussed (see </w:t>
      </w:r>
      <w:hyperlink r:id="rId16" w:anchor="Causes" w:history="1">
        <w:r w:rsidRPr="0095704C">
          <w:rPr>
            <w:rStyle w:val="Hyperlink"/>
            <w:rFonts w:asciiTheme="majorHAnsi" w:hAnsiTheme="majorHAnsi" w:cs="Arial"/>
            <w:color w:val="000000" w:themeColor="text1"/>
            <w:u w:val="none"/>
          </w:rPr>
          <w:t>below</w:t>
        </w:r>
      </w:hyperlink>
      <w:r w:rsidRPr="0095704C">
        <w:rPr>
          <w:rFonts w:asciiTheme="majorHAnsi" w:hAnsiTheme="majorHAnsi" w:cs="Arial"/>
          <w:color w:val="000000" w:themeColor="text1"/>
        </w:rPr>
        <w:t>), the consensus being that growth in the </w:t>
      </w:r>
      <w:hyperlink r:id="rId17" w:tooltip="Money supply" w:history="1">
        <w:r w:rsidRPr="0095704C">
          <w:rPr>
            <w:rStyle w:val="Hyperlink"/>
            <w:rFonts w:asciiTheme="majorHAnsi" w:hAnsiTheme="majorHAnsi" w:cs="Arial"/>
            <w:color w:val="000000" w:themeColor="text1"/>
            <w:u w:val="none"/>
          </w:rPr>
          <w:t>money supply</w:t>
        </w:r>
      </w:hyperlink>
      <w:r w:rsidRPr="0095704C">
        <w:rPr>
          <w:rFonts w:asciiTheme="majorHAnsi" w:hAnsiTheme="majorHAnsi" w:cs="Arial"/>
          <w:color w:val="000000" w:themeColor="text1"/>
        </w:rPr>
        <w:t>, alongside increased </w:t>
      </w:r>
      <w:hyperlink r:id="rId18" w:tooltip="Velocity of money" w:history="1">
        <w:r w:rsidRPr="0095704C">
          <w:rPr>
            <w:rStyle w:val="Hyperlink"/>
            <w:rFonts w:asciiTheme="majorHAnsi" w:hAnsiTheme="majorHAnsi" w:cs="Arial"/>
            <w:color w:val="000000" w:themeColor="text1"/>
            <w:u w:val="none"/>
          </w:rPr>
          <w:t>velocity of money</w:t>
        </w:r>
      </w:hyperlink>
      <w:r w:rsidRPr="0095704C">
        <w:rPr>
          <w:rFonts w:asciiTheme="majorHAnsi" w:hAnsiTheme="majorHAnsi" w:cs="Arial"/>
          <w:color w:val="000000" w:themeColor="text1"/>
        </w:rPr>
        <w:t>, is typically the dominant </w:t>
      </w:r>
      <w:hyperlink r:id="rId19" w:tooltip="Causality" w:history="1">
        <w:r w:rsidRPr="0095704C">
          <w:rPr>
            <w:rStyle w:val="Hyperlink"/>
            <w:rFonts w:asciiTheme="majorHAnsi" w:hAnsiTheme="majorHAnsi" w:cs="Arial"/>
            <w:color w:val="000000" w:themeColor="text1"/>
            <w:u w:val="none"/>
          </w:rPr>
          <w:t>causal factor</w:t>
        </w:r>
      </w:hyperlink>
      <w:r w:rsidRPr="0095704C">
        <w:rPr>
          <w:rFonts w:asciiTheme="majorHAnsi" w:hAnsiTheme="majorHAnsi" w:cs="Arial"/>
          <w:color w:val="000000" w:themeColor="text1"/>
        </w:rPr>
        <w:t xml:space="preserve">. </w:t>
      </w:r>
    </w:p>
    <w:p w:rsidR="008B1B15" w:rsidRPr="0095704C" w:rsidRDefault="008B1B15" w:rsidP="00B555DD">
      <w:pPr>
        <w:pStyle w:val="NormalWeb"/>
        <w:pBdr>
          <w:top w:val="single" w:sz="12" w:space="1" w:color="00B050" w:shadow="1"/>
          <w:left w:val="single" w:sz="12" w:space="4" w:color="00B050" w:shadow="1"/>
          <w:bottom w:val="single" w:sz="12" w:space="1" w:color="00B050" w:shadow="1"/>
          <w:right w:val="single" w:sz="12" w:space="4" w:color="00B050" w:shadow="1"/>
        </w:pBdr>
        <w:shd w:val="clear" w:color="auto" w:fill="FFFFFF"/>
        <w:spacing w:before="120" w:beforeAutospacing="0" w:after="120" w:afterAutospacing="0" w:line="360" w:lineRule="auto"/>
        <w:ind w:firstLine="720"/>
        <w:jc w:val="both"/>
        <w:rPr>
          <w:rFonts w:asciiTheme="majorHAnsi" w:hAnsiTheme="majorHAnsi" w:cs="Arial"/>
          <w:color w:val="000000" w:themeColor="text1"/>
        </w:rPr>
      </w:pPr>
      <w:r w:rsidRPr="0095704C">
        <w:rPr>
          <w:rFonts w:asciiTheme="majorHAnsi" w:hAnsiTheme="majorHAnsi" w:cs="Arial"/>
          <w:color w:val="000000" w:themeColor="text1"/>
        </w:rPr>
        <w:t>If money were perfectly </w:t>
      </w:r>
      <w:hyperlink r:id="rId20" w:tooltip="Neutrality of money" w:history="1">
        <w:r w:rsidRPr="0095704C">
          <w:rPr>
            <w:rStyle w:val="Hyperlink"/>
            <w:rFonts w:asciiTheme="majorHAnsi" w:hAnsiTheme="majorHAnsi" w:cs="Arial"/>
            <w:color w:val="000000" w:themeColor="text1"/>
            <w:u w:val="none"/>
          </w:rPr>
          <w:t>neutral</w:t>
        </w:r>
      </w:hyperlink>
      <w:r w:rsidRPr="0095704C">
        <w:rPr>
          <w:rFonts w:asciiTheme="majorHAnsi" w:hAnsiTheme="majorHAnsi" w:cs="Arial"/>
          <w:color w:val="000000" w:themeColor="text1"/>
        </w:rPr>
        <w:t>, inflation would have no effect on the real economy; but perfect neutrality is not generally considered believable. Effects on th</w:t>
      </w:r>
      <w:r w:rsidR="00CD552E" w:rsidRPr="0095704C">
        <w:rPr>
          <w:rFonts w:asciiTheme="majorHAnsi" w:hAnsiTheme="majorHAnsi" w:cs="Arial"/>
          <w:color w:val="000000" w:themeColor="text1"/>
        </w:rPr>
        <w:t xml:space="preserve">e real </w:t>
      </w:r>
      <w:r w:rsidR="00DA5081" w:rsidRPr="0095704C">
        <w:rPr>
          <w:rFonts w:asciiTheme="majorHAnsi" w:hAnsiTheme="majorHAnsi" w:cs="Arial"/>
          <w:color w:val="000000" w:themeColor="text1"/>
        </w:rPr>
        <w:t>economy</w:t>
      </w:r>
      <w:r w:rsidRPr="0095704C">
        <w:rPr>
          <w:rFonts w:asciiTheme="majorHAnsi" w:hAnsiTheme="majorHAnsi" w:cs="Arial"/>
          <w:color w:val="000000" w:themeColor="text1"/>
        </w:rPr>
        <w:t xml:space="preserve"> are severely disruptive in the cases of very high inflation and </w:t>
      </w:r>
      <w:hyperlink r:id="rId21" w:tooltip="Hyperinflation" w:history="1">
        <w:r w:rsidRPr="0095704C">
          <w:rPr>
            <w:rStyle w:val="Hyperlink"/>
            <w:rFonts w:asciiTheme="majorHAnsi" w:hAnsiTheme="majorHAnsi" w:cs="Arial"/>
            <w:color w:val="000000" w:themeColor="text1"/>
            <w:u w:val="none"/>
          </w:rPr>
          <w:t>hyperinflation</w:t>
        </w:r>
      </w:hyperlink>
      <w:r w:rsidRPr="0095704C">
        <w:rPr>
          <w:rFonts w:asciiTheme="majorHAnsi" w:hAnsiTheme="majorHAnsi" w:cs="Arial"/>
          <w:color w:val="000000" w:themeColor="text1"/>
        </w:rPr>
        <w:t>. More moderate inflation affects economies in both positive and negative ways. The negative effects include an increase in the </w:t>
      </w:r>
      <w:hyperlink r:id="rId22" w:tooltip="Opportunity cost" w:history="1">
        <w:r w:rsidRPr="0095704C">
          <w:rPr>
            <w:rStyle w:val="Hyperlink"/>
            <w:rFonts w:asciiTheme="majorHAnsi" w:hAnsiTheme="majorHAnsi" w:cs="Arial"/>
            <w:color w:val="000000" w:themeColor="text1"/>
            <w:u w:val="none"/>
          </w:rPr>
          <w:t>opportunity cost</w:t>
        </w:r>
      </w:hyperlink>
      <w:r w:rsidRPr="0095704C">
        <w:rPr>
          <w:rFonts w:asciiTheme="majorHAnsi" w:hAnsiTheme="majorHAnsi" w:cs="Arial"/>
          <w:color w:val="000000" w:themeColor="text1"/>
        </w:rPr>
        <w:t> of holding money, uncertainty over future inflation which may discourage investment and savings, and if inflation were rapid enough, shortages of </w:t>
      </w:r>
      <w:hyperlink r:id="rId23" w:tooltip="Good (economics)" w:history="1">
        <w:r w:rsidRPr="0095704C">
          <w:rPr>
            <w:rStyle w:val="Hyperlink"/>
            <w:rFonts w:asciiTheme="majorHAnsi" w:hAnsiTheme="majorHAnsi" w:cs="Arial"/>
            <w:color w:val="000000" w:themeColor="text1"/>
            <w:u w:val="none"/>
          </w:rPr>
          <w:t>goods</w:t>
        </w:r>
      </w:hyperlink>
      <w:r w:rsidRPr="0095704C">
        <w:rPr>
          <w:rFonts w:asciiTheme="majorHAnsi" w:hAnsiTheme="majorHAnsi" w:cs="Arial"/>
          <w:color w:val="000000" w:themeColor="text1"/>
        </w:rPr>
        <w:t> as consumers begin </w:t>
      </w:r>
      <w:hyperlink r:id="rId24" w:tooltip="Hoarding (economics)" w:history="1">
        <w:r w:rsidRPr="0095704C">
          <w:rPr>
            <w:rStyle w:val="Hyperlink"/>
            <w:rFonts w:asciiTheme="majorHAnsi" w:hAnsiTheme="majorHAnsi" w:cs="Arial"/>
            <w:color w:val="000000" w:themeColor="text1"/>
            <w:u w:val="none"/>
          </w:rPr>
          <w:t>hoarding</w:t>
        </w:r>
      </w:hyperlink>
      <w:r w:rsidRPr="0095704C">
        <w:rPr>
          <w:rFonts w:asciiTheme="majorHAnsi" w:hAnsiTheme="majorHAnsi" w:cs="Arial"/>
          <w:color w:val="000000" w:themeColor="text1"/>
        </w:rPr>
        <w:t> out of concern that prices will increase in the future. Positive effects include reducing </w:t>
      </w:r>
      <w:hyperlink r:id="rId25" w:tooltip="Unemployment" w:history="1">
        <w:r w:rsidRPr="0095704C">
          <w:rPr>
            <w:rStyle w:val="Hyperlink"/>
            <w:rFonts w:asciiTheme="majorHAnsi" w:hAnsiTheme="majorHAnsi" w:cs="Arial"/>
            <w:color w:val="000000" w:themeColor="text1"/>
            <w:u w:val="none"/>
          </w:rPr>
          <w:t>unemployment</w:t>
        </w:r>
      </w:hyperlink>
      <w:r w:rsidRPr="0095704C">
        <w:rPr>
          <w:rFonts w:asciiTheme="majorHAnsi" w:hAnsiTheme="majorHAnsi" w:cs="Arial"/>
          <w:color w:val="000000" w:themeColor="text1"/>
        </w:rPr>
        <w:t> due to </w:t>
      </w:r>
      <w:hyperlink r:id="rId26" w:tooltip="Nominal rigidity" w:history="1">
        <w:r w:rsidRPr="0095704C">
          <w:rPr>
            <w:rStyle w:val="Hyperlink"/>
            <w:rFonts w:asciiTheme="majorHAnsi" w:hAnsiTheme="majorHAnsi" w:cs="Arial"/>
            <w:color w:val="000000" w:themeColor="text1"/>
            <w:u w:val="none"/>
          </w:rPr>
          <w:t>nominal wage rigidity</w:t>
        </w:r>
      </w:hyperlink>
      <w:r w:rsidRPr="0095704C">
        <w:rPr>
          <w:rFonts w:asciiTheme="majorHAnsi" w:hAnsiTheme="majorHAnsi" w:cs="Arial"/>
          <w:color w:val="000000" w:themeColor="text1"/>
        </w:rPr>
        <w:t>, allowing the central bank greater freedom in carrying out </w:t>
      </w:r>
      <w:hyperlink r:id="rId27" w:tooltip="Monetary policy" w:history="1">
        <w:r w:rsidRPr="0095704C">
          <w:rPr>
            <w:rStyle w:val="Hyperlink"/>
            <w:rFonts w:asciiTheme="majorHAnsi" w:hAnsiTheme="majorHAnsi" w:cs="Arial"/>
            <w:color w:val="000000" w:themeColor="text1"/>
            <w:u w:val="none"/>
          </w:rPr>
          <w:t>monetary policy</w:t>
        </w:r>
      </w:hyperlink>
      <w:r w:rsidRPr="0095704C">
        <w:rPr>
          <w:rFonts w:asciiTheme="majorHAnsi" w:hAnsiTheme="majorHAnsi" w:cs="Arial"/>
          <w:color w:val="000000" w:themeColor="text1"/>
        </w:rPr>
        <w:t>, encouraging loans and investment instead of money hoarding, and avoiding the inefficiencies associated with deflation.</w:t>
      </w:r>
    </w:p>
    <w:p w:rsidR="00B555DD" w:rsidRDefault="00B555DD" w:rsidP="00B555DD">
      <w:pPr>
        <w:pStyle w:val="NormalWeb"/>
        <w:shd w:val="clear" w:color="auto" w:fill="FFFFFF"/>
        <w:spacing w:before="120" w:beforeAutospacing="0" w:after="120" w:afterAutospacing="0" w:line="360" w:lineRule="auto"/>
        <w:ind w:firstLine="720"/>
        <w:jc w:val="center"/>
        <w:rPr>
          <w:rFonts w:asciiTheme="majorHAnsi" w:hAnsiTheme="majorHAnsi" w:cs="Arial"/>
          <w:color w:val="000000" w:themeColor="text1"/>
        </w:rPr>
      </w:pPr>
      <w:r>
        <w:rPr>
          <w:rFonts w:asciiTheme="majorHAnsi" w:hAnsiTheme="majorHAnsi" w:cs="Arial"/>
          <w:noProof/>
          <w:color w:val="000000" w:themeColor="text1"/>
        </w:rPr>
        <w:lastRenderedPageBreak/>
        <w:drawing>
          <wp:inline distT="0" distB="0" distL="0" distR="0">
            <wp:extent cx="2576421" cy="1828800"/>
            <wp:effectExtent l="171450" t="133350" r="167005" b="11049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421" cy="1828800"/>
                    </a:xfrm>
                    <a:prstGeom prst="rect">
                      <a:avLst/>
                    </a:prstGeom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  <a:reflection blurRad="6350" stA="50000" endA="300" endPos="55500" dist="50800" dir="5400000" sy="-100000" algn="bl" rotWithShape="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14300" prst="hardEdge"/>
                    </a:sp3d>
                  </pic:spPr>
                </pic:pic>
              </a:graphicData>
            </a:graphic>
          </wp:inline>
        </w:drawing>
      </w:r>
    </w:p>
    <w:p w:rsidR="008B1B15" w:rsidRDefault="008B1B15" w:rsidP="0095704C">
      <w:pPr>
        <w:pStyle w:val="NormalWeb"/>
        <w:shd w:val="clear" w:color="auto" w:fill="FFFFFF"/>
        <w:spacing w:before="120" w:beforeAutospacing="0" w:after="120" w:afterAutospacing="0" w:line="360" w:lineRule="auto"/>
        <w:ind w:firstLine="720"/>
        <w:jc w:val="both"/>
        <w:rPr>
          <w:rFonts w:asciiTheme="majorHAnsi" w:hAnsiTheme="majorHAnsi" w:cs="Arial"/>
          <w:color w:val="000000" w:themeColor="text1"/>
        </w:rPr>
      </w:pPr>
      <w:r w:rsidRPr="0095704C">
        <w:rPr>
          <w:rFonts w:asciiTheme="majorHAnsi" w:hAnsiTheme="majorHAnsi" w:cs="Arial"/>
          <w:color w:val="000000" w:themeColor="text1"/>
        </w:rPr>
        <w:t xml:space="preserve">Today, most economists </w:t>
      </w:r>
      <w:r w:rsidR="00DA5081" w:rsidRPr="0095704C">
        <w:rPr>
          <w:rFonts w:asciiTheme="majorHAnsi" w:hAnsiTheme="majorHAnsi" w:cs="Arial"/>
          <w:color w:val="000000" w:themeColor="text1"/>
        </w:rPr>
        <w:t>favor</w:t>
      </w:r>
      <w:r w:rsidRPr="0095704C">
        <w:rPr>
          <w:rFonts w:asciiTheme="majorHAnsi" w:hAnsiTheme="majorHAnsi" w:cs="Arial"/>
          <w:color w:val="000000" w:themeColor="text1"/>
        </w:rPr>
        <w:t xml:space="preserve"> a low and steady rate of inflation.  Low (as opposed to zero or </w:t>
      </w:r>
      <w:hyperlink r:id="rId29" w:tooltip="Deflation" w:history="1">
        <w:r w:rsidRPr="0095704C">
          <w:rPr>
            <w:rStyle w:val="Hyperlink"/>
            <w:rFonts w:asciiTheme="majorHAnsi" w:hAnsiTheme="majorHAnsi" w:cs="Arial"/>
            <w:color w:val="000000" w:themeColor="text1"/>
            <w:u w:val="none"/>
          </w:rPr>
          <w:t>negative</w:t>
        </w:r>
      </w:hyperlink>
      <w:r w:rsidRPr="0095704C">
        <w:rPr>
          <w:rFonts w:asciiTheme="majorHAnsi" w:hAnsiTheme="majorHAnsi" w:cs="Arial"/>
          <w:color w:val="000000" w:themeColor="text1"/>
        </w:rPr>
        <w:t>) inflation reduces the severity of economic </w:t>
      </w:r>
      <w:hyperlink r:id="rId30" w:tooltip="Recessions" w:history="1">
        <w:r w:rsidRPr="0095704C">
          <w:rPr>
            <w:rStyle w:val="Hyperlink"/>
            <w:rFonts w:asciiTheme="majorHAnsi" w:hAnsiTheme="majorHAnsi" w:cs="Arial"/>
            <w:color w:val="000000" w:themeColor="text1"/>
            <w:u w:val="none"/>
          </w:rPr>
          <w:t>recessions</w:t>
        </w:r>
      </w:hyperlink>
      <w:r w:rsidRPr="0095704C">
        <w:rPr>
          <w:rFonts w:asciiTheme="majorHAnsi" w:hAnsiTheme="majorHAnsi" w:cs="Arial"/>
          <w:color w:val="000000" w:themeColor="text1"/>
        </w:rPr>
        <w:t> by enabling the labor market to adjust more quickly in a downturn, and reduces the risk that a </w:t>
      </w:r>
      <w:hyperlink r:id="rId31" w:tooltip="Liquidity trap" w:history="1">
        <w:r w:rsidRPr="0095704C">
          <w:rPr>
            <w:rStyle w:val="Hyperlink"/>
            <w:rFonts w:asciiTheme="majorHAnsi" w:hAnsiTheme="majorHAnsi" w:cs="Arial"/>
            <w:color w:val="000000" w:themeColor="text1"/>
            <w:u w:val="none"/>
          </w:rPr>
          <w:t>liquidity trap</w:t>
        </w:r>
      </w:hyperlink>
      <w:r w:rsidRPr="0095704C">
        <w:rPr>
          <w:rFonts w:asciiTheme="majorHAnsi" w:hAnsiTheme="majorHAnsi" w:cs="Arial"/>
          <w:color w:val="000000" w:themeColor="text1"/>
        </w:rPr>
        <w:t> prevents </w:t>
      </w:r>
      <w:hyperlink r:id="rId32" w:tooltip="Monetary policy" w:history="1">
        <w:r w:rsidRPr="0095704C">
          <w:rPr>
            <w:rStyle w:val="Hyperlink"/>
            <w:rFonts w:asciiTheme="majorHAnsi" w:hAnsiTheme="majorHAnsi" w:cs="Arial"/>
            <w:color w:val="000000" w:themeColor="text1"/>
            <w:u w:val="none"/>
          </w:rPr>
          <w:t>monetary policy</w:t>
        </w:r>
      </w:hyperlink>
      <w:r w:rsidRPr="0095704C">
        <w:rPr>
          <w:rFonts w:asciiTheme="majorHAnsi" w:hAnsiTheme="majorHAnsi" w:cs="Arial"/>
          <w:color w:val="000000" w:themeColor="text1"/>
        </w:rPr>
        <w:t xml:space="preserve"> from </w:t>
      </w:r>
      <w:r w:rsidR="00DA5081" w:rsidRPr="0095704C">
        <w:rPr>
          <w:rFonts w:asciiTheme="majorHAnsi" w:hAnsiTheme="majorHAnsi" w:cs="Arial"/>
          <w:color w:val="000000" w:themeColor="text1"/>
        </w:rPr>
        <w:t>stabilizing</w:t>
      </w:r>
      <w:r w:rsidRPr="0095704C">
        <w:rPr>
          <w:rFonts w:asciiTheme="majorHAnsi" w:hAnsiTheme="majorHAnsi" w:cs="Arial"/>
          <w:color w:val="000000" w:themeColor="text1"/>
        </w:rPr>
        <w:t xml:space="preserve"> the economy. The task of keeping the rate of inflation low and stable is usually given to </w:t>
      </w:r>
      <w:hyperlink r:id="rId33" w:tooltip="Monetary authority" w:history="1">
        <w:r w:rsidRPr="0095704C">
          <w:rPr>
            <w:rStyle w:val="Hyperlink"/>
            <w:rFonts w:asciiTheme="majorHAnsi" w:hAnsiTheme="majorHAnsi" w:cs="Arial"/>
            <w:color w:val="000000" w:themeColor="text1"/>
            <w:u w:val="none"/>
          </w:rPr>
          <w:t>monetary authorities</w:t>
        </w:r>
      </w:hyperlink>
      <w:r w:rsidRPr="0095704C">
        <w:rPr>
          <w:rFonts w:asciiTheme="majorHAnsi" w:hAnsiTheme="majorHAnsi" w:cs="Arial"/>
          <w:color w:val="000000" w:themeColor="text1"/>
        </w:rPr>
        <w:t>. Generally, these monetary authorities are the </w:t>
      </w:r>
      <w:hyperlink r:id="rId34" w:tooltip="Central bank" w:history="1">
        <w:r w:rsidRPr="0095704C">
          <w:rPr>
            <w:rStyle w:val="Hyperlink"/>
            <w:rFonts w:asciiTheme="majorHAnsi" w:hAnsiTheme="majorHAnsi" w:cs="Arial"/>
            <w:color w:val="000000" w:themeColor="text1"/>
            <w:u w:val="none"/>
          </w:rPr>
          <w:t>central banks</w:t>
        </w:r>
      </w:hyperlink>
      <w:r w:rsidRPr="0095704C">
        <w:rPr>
          <w:rFonts w:asciiTheme="majorHAnsi" w:hAnsiTheme="majorHAnsi" w:cs="Arial"/>
          <w:color w:val="000000" w:themeColor="text1"/>
        </w:rPr>
        <w:t> that control monetary policy through the setting of </w:t>
      </w:r>
      <w:hyperlink r:id="rId35" w:tooltip="Interest rate" w:history="1">
        <w:r w:rsidRPr="0095704C">
          <w:rPr>
            <w:rStyle w:val="Hyperlink"/>
            <w:rFonts w:asciiTheme="majorHAnsi" w:hAnsiTheme="majorHAnsi" w:cs="Arial"/>
            <w:color w:val="000000" w:themeColor="text1"/>
            <w:u w:val="none"/>
          </w:rPr>
          <w:t>interest rates</w:t>
        </w:r>
      </w:hyperlink>
      <w:r w:rsidRPr="0095704C">
        <w:rPr>
          <w:rFonts w:asciiTheme="majorHAnsi" w:hAnsiTheme="majorHAnsi" w:cs="Arial"/>
          <w:color w:val="000000" w:themeColor="text1"/>
        </w:rPr>
        <w:t>, by carrying out </w:t>
      </w:r>
      <w:hyperlink r:id="rId36" w:tooltip="Open market operation" w:history="1">
        <w:r w:rsidRPr="0095704C">
          <w:rPr>
            <w:rStyle w:val="Hyperlink"/>
            <w:rFonts w:asciiTheme="majorHAnsi" w:hAnsiTheme="majorHAnsi" w:cs="Arial"/>
            <w:color w:val="000000" w:themeColor="text1"/>
            <w:u w:val="none"/>
          </w:rPr>
          <w:t>open market operations</w:t>
        </w:r>
      </w:hyperlink>
      <w:r w:rsidRPr="0095704C">
        <w:rPr>
          <w:rFonts w:asciiTheme="majorHAnsi" w:hAnsiTheme="majorHAnsi" w:cs="Arial"/>
          <w:color w:val="000000" w:themeColor="text1"/>
        </w:rPr>
        <w:t> and (more rarely) changing commercial bank </w:t>
      </w:r>
      <w:hyperlink r:id="rId37" w:tooltip="Reserve requirements" w:history="1">
        <w:r w:rsidR="00CD552E" w:rsidRPr="0095704C">
          <w:rPr>
            <w:rStyle w:val="Hyperlink"/>
            <w:rFonts w:asciiTheme="majorHAnsi" w:hAnsiTheme="majorHAnsi" w:cs="Arial"/>
            <w:color w:val="000000" w:themeColor="text1"/>
            <w:u w:val="none"/>
          </w:rPr>
          <w:t xml:space="preserve">reserve </w:t>
        </w:r>
        <w:r w:rsidR="00DA5081" w:rsidRPr="0095704C">
          <w:rPr>
            <w:rStyle w:val="Hyperlink"/>
            <w:rFonts w:asciiTheme="majorHAnsi" w:hAnsiTheme="majorHAnsi" w:cs="Arial"/>
            <w:color w:val="000000" w:themeColor="text1"/>
            <w:u w:val="none"/>
          </w:rPr>
          <w:t>requirements</w:t>
        </w:r>
      </w:hyperlink>
      <w:r w:rsidRPr="0095704C">
        <w:rPr>
          <w:rFonts w:asciiTheme="majorHAnsi" w:hAnsiTheme="majorHAnsi" w:cs="Arial"/>
          <w:color w:val="000000" w:themeColor="text1"/>
        </w:rPr>
        <w:t>.</w:t>
      </w:r>
    </w:p>
    <w:tbl>
      <w:tblPr>
        <w:tblStyle w:val="MediumGrid1-Accent4"/>
        <w:tblW w:w="0" w:type="auto"/>
        <w:jc w:val="right"/>
        <w:tblLook w:val="04A0" w:firstRow="1" w:lastRow="0" w:firstColumn="1" w:lastColumn="0" w:noHBand="0" w:noVBand="1"/>
      </w:tblPr>
      <w:tblGrid>
        <w:gridCol w:w="3600"/>
        <w:gridCol w:w="3600"/>
      </w:tblGrid>
      <w:tr w:rsidR="00DC2364" w:rsidTr="00DC2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DC2364" w:rsidRDefault="00DC2364" w:rsidP="007C4AC7">
            <w:pPr>
              <w:pStyle w:val="NormalWeb"/>
              <w:spacing w:before="120" w:beforeAutospacing="0" w:after="120" w:afterAutospacing="0" w:line="360" w:lineRule="auto"/>
              <w:jc w:val="center"/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Theme="majorHAnsi" w:hAnsiTheme="majorHAnsi" w:cs="Arial"/>
                <w:color w:val="000000" w:themeColor="text1"/>
              </w:rPr>
              <w:t>Country</w:t>
            </w:r>
          </w:p>
        </w:tc>
        <w:tc>
          <w:tcPr>
            <w:tcW w:w="3600" w:type="dxa"/>
          </w:tcPr>
          <w:p w:rsidR="00DC2364" w:rsidRDefault="00DC2364" w:rsidP="007C4AC7">
            <w:pPr>
              <w:pStyle w:val="NormalWeb"/>
              <w:spacing w:before="120" w:beforeAutospacing="0" w:after="120" w:afterAutospacing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Theme="majorHAnsi" w:hAnsiTheme="majorHAnsi" w:cs="Arial"/>
                <w:color w:val="000000" w:themeColor="text1"/>
              </w:rPr>
              <w:t>Inflation Rate (Percentage)</w:t>
            </w:r>
          </w:p>
        </w:tc>
      </w:tr>
      <w:tr w:rsidR="00DC2364" w:rsidTr="00DC2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DC2364" w:rsidRDefault="00DC2364" w:rsidP="007C4AC7">
            <w:pPr>
              <w:pStyle w:val="NormalWeb"/>
              <w:spacing w:before="120" w:beforeAutospacing="0" w:after="120" w:afterAutospacing="0" w:line="360" w:lineRule="auto"/>
              <w:jc w:val="center"/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Theme="majorHAnsi" w:hAnsiTheme="majorHAnsi" w:cs="Arial"/>
                <w:color w:val="000000" w:themeColor="text1"/>
              </w:rPr>
              <w:t>Japan</w:t>
            </w:r>
          </w:p>
        </w:tc>
        <w:tc>
          <w:tcPr>
            <w:tcW w:w="3600" w:type="dxa"/>
          </w:tcPr>
          <w:p w:rsidR="00DC2364" w:rsidRDefault="00DC2364" w:rsidP="007C4AC7">
            <w:pPr>
              <w:pStyle w:val="NormalWeb"/>
              <w:spacing w:before="120" w:beforeAutospacing="0" w:after="120" w:afterAutospacing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Theme="majorHAnsi" w:hAnsiTheme="majorHAnsi" w:cs="Arial"/>
                <w:color w:val="000000" w:themeColor="text1"/>
              </w:rPr>
              <w:t>0.8</w:t>
            </w:r>
          </w:p>
        </w:tc>
      </w:tr>
      <w:tr w:rsidR="00DC2364" w:rsidTr="00DC2364">
        <w:trPr>
          <w:trHeight w:hRule="exact" w:val="43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DC2364" w:rsidRDefault="00DC2364" w:rsidP="007C4AC7">
            <w:pPr>
              <w:pStyle w:val="NormalWeb"/>
              <w:spacing w:before="120" w:beforeAutospacing="0" w:after="120" w:afterAutospacing="0" w:line="360" w:lineRule="auto"/>
              <w:jc w:val="center"/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Theme="majorHAnsi" w:hAnsiTheme="majorHAnsi" w:cs="Arial"/>
                <w:color w:val="000000" w:themeColor="text1"/>
              </w:rPr>
              <w:t>France</w:t>
            </w:r>
          </w:p>
        </w:tc>
        <w:tc>
          <w:tcPr>
            <w:tcW w:w="3600" w:type="dxa"/>
          </w:tcPr>
          <w:p w:rsidR="00DC2364" w:rsidRDefault="00DC2364" w:rsidP="007C4AC7">
            <w:pPr>
              <w:pStyle w:val="NormalWeb"/>
              <w:spacing w:before="120" w:beforeAutospacing="0" w:after="120" w:afterAutospacing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Theme="majorHAnsi" w:hAnsiTheme="majorHAnsi" w:cs="Arial"/>
                <w:color w:val="000000" w:themeColor="text1"/>
              </w:rPr>
              <w:t>2.8</w:t>
            </w:r>
          </w:p>
        </w:tc>
      </w:tr>
      <w:tr w:rsidR="00DC2364" w:rsidTr="00DC2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DC2364" w:rsidRDefault="00DC2364" w:rsidP="007C4AC7">
            <w:pPr>
              <w:pStyle w:val="NormalWeb"/>
              <w:spacing w:before="120" w:beforeAutospacing="0" w:after="120" w:afterAutospacing="0" w:line="360" w:lineRule="auto"/>
              <w:jc w:val="center"/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Theme="majorHAnsi" w:hAnsiTheme="majorHAnsi" w:cs="Arial"/>
                <w:color w:val="000000" w:themeColor="text1"/>
              </w:rPr>
              <w:t>Italy</w:t>
            </w:r>
          </w:p>
        </w:tc>
        <w:tc>
          <w:tcPr>
            <w:tcW w:w="3600" w:type="dxa"/>
          </w:tcPr>
          <w:p w:rsidR="00DC2364" w:rsidRDefault="00DC2364" w:rsidP="007C4AC7">
            <w:pPr>
              <w:pStyle w:val="NormalWeb"/>
              <w:spacing w:before="120" w:beforeAutospacing="0" w:after="120" w:afterAutospacing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Theme="majorHAnsi" w:hAnsiTheme="majorHAnsi" w:cs="Arial"/>
                <w:color w:val="000000" w:themeColor="text1"/>
              </w:rPr>
              <w:t>3.9</w:t>
            </w:r>
          </w:p>
        </w:tc>
      </w:tr>
      <w:tr w:rsidR="00DC2364" w:rsidTr="00DC2364">
        <w:trPr>
          <w:trHeight w:hRule="exact" w:val="43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DC2364" w:rsidRDefault="00DC2364" w:rsidP="007C4AC7">
            <w:pPr>
              <w:pStyle w:val="NormalWeb"/>
              <w:spacing w:before="120" w:beforeAutospacing="0" w:after="120" w:afterAutospacing="0" w:line="360" w:lineRule="auto"/>
              <w:jc w:val="center"/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Theme="majorHAnsi" w:hAnsiTheme="majorHAnsi" w:cs="Arial"/>
                <w:color w:val="000000" w:themeColor="text1"/>
              </w:rPr>
              <w:t>United Kingdom</w:t>
            </w:r>
          </w:p>
        </w:tc>
        <w:tc>
          <w:tcPr>
            <w:tcW w:w="3600" w:type="dxa"/>
          </w:tcPr>
          <w:p w:rsidR="00DC2364" w:rsidRDefault="00DC2364" w:rsidP="007C4AC7">
            <w:pPr>
              <w:pStyle w:val="NormalWeb"/>
              <w:spacing w:before="120" w:beforeAutospacing="0" w:after="120" w:afterAutospacing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Theme="majorHAnsi" w:hAnsiTheme="majorHAnsi" w:cs="Arial"/>
                <w:color w:val="000000" w:themeColor="text1"/>
              </w:rPr>
              <w:t>4.8</w:t>
            </w:r>
          </w:p>
        </w:tc>
      </w:tr>
      <w:tr w:rsidR="00DC2364" w:rsidTr="00DC2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DC2364" w:rsidRDefault="00DC2364" w:rsidP="007C4AC7">
            <w:pPr>
              <w:pStyle w:val="NormalWeb"/>
              <w:spacing w:before="120" w:beforeAutospacing="0" w:after="120" w:afterAutospacing="0" w:line="360" w:lineRule="auto"/>
              <w:jc w:val="center"/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Theme="majorHAnsi" w:hAnsiTheme="majorHAnsi" w:cs="Arial"/>
                <w:color w:val="000000" w:themeColor="text1"/>
              </w:rPr>
              <w:t>Canada</w:t>
            </w:r>
          </w:p>
        </w:tc>
        <w:tc>
          <w:tcPr>
            <w:tcW w:w="3600" w:type="dxa"/>
          </w:tcPr>
          <w:p w:rsidR="00DC2364" w:rsidRDefault="00DC2364" w:rsidP="007C4AC7">
            <w:pPr>
              <w:pStyle w:val="NormalWeb"/>
              <w:spacing w:before="120" w:beforeAutospacing="0" w:after="120" w:afterAutospacing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Theme="majorHAnsi" w:hAnsiTheme="majorHAnsi" w:cs="Arial"/>
                <w:color w:val="000000" w:themeColor="text1"/>
              </w:rPr>
              <w:t>4.8</w:t>
            </w:r>
          </w:p>
        </w:tc>
      </w:tr>
      <w:tr w:rsidR="00DC2364" w:rsidTr="00DC2364">
        <w:trPr>
          <w:trHeight w:hRule="exact" w:val="43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DC2364" w:rsidRDefault="00DC2364" w:rsidP="007C4AC7">
            <w:pPr>
              <w:pStyle w:val="NormalWeb"/>
              <w:spacing w:before="120" w:beforeAutospacing="0" w:after="120" w:afterAutospacing="0" w:line="360" w:lineRule="auto"/>
              <w:jc w:val="center"/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Theme="majorHAnsi" w:hAnsiTheme="majorHAnsi" w:cs="Arial"/>
                <w:color w:val="000000" w:themeColor="text1"/>
              </w:rPr>
              <w:t>Germany</w:t>
            </w:r>
          </w:p>
        </w:tc>
        <w:tc>
          <w:tcPr>
            <w:tcW w:w="3600" w:type="dxa"/>
          </w:tcPr>
          <w:p w:rsidR="00DC2364" w:rsidRDefault="00DC2364" w:rsidP="007C4AC7">
            <w:pPr>
              <w:pStyle w:val="NormalWeb"/>
              <w:spacing w:before="120" w:beforeAutospacing="0" w:after="120" w:afterAutospacing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Theme="majorHAnsi" w:hAnsiTheme="majorHAnsi" w:cs="Arial"/>
                <w:color w:val="000000" w:themeColor="text1"/>
              </w:rPr>
              <w:t>5.3</w:t>
            </w:r>
          </w:p>
        </w:tc>
      </w:tr>
      <w:tr w:rsidR="00DC2364" w:rsidTr="00DC2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DC2364" w:rsidRDefault="00DC2364" w:rsidP="007C4AC7">
            <w:pPr>
              <w:pStyle w:val="NormalWeb"/>
              <w:spacing w:before="120" w:beforeAutospacing="0" w:after="120" w:afterAutospacing="0" w:line="360" w:lineRule="auto"/>
              <w:jc w:val="center"/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Theme="majorHAnsi" w:hAnsiTheme="majorHAnsi" w:cs="Arial"/>
                <w:color w:val="000000" w:themeColor="text1"/>
              </w:rPr>
              <w:t>United States</w:t>
            </w:r>
          </w:p>
        </w:tc>
        <w:tc>
          <w:tcPr>
            <w:tcW w:w="3600" w:type="dxa"/>
          </w:tcPr>
          <w:p w:rsidR="00DC2364" w:rsidRDefault="00DC2364" w:rsidP="007C4AC7">
            <w:pPr>
              <w:pStyle w:val="NormalWeb"/>
              <w:spacing w:before="120" w:beforeAutospacing="0" w:after="120" w:afterAutospacing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Theme="majorHAnsi" w:hAnsiTheme="majorHAnsi" w:cs="Arial"/>
                <w:color w:val="000000" w:themeColor="text1"/>
              </w:rPr>
              <w:t>7</w:t>
            </w:r>
            <w:r w:rsidR="003B4341">
              <w:rPr>
                <w:rFonts w:asciiTheme="majorHAnsi" w:hAnsiTheme="majorHAnsi" w:cs="Arial"/>
                <w:color w:val="000000" w:themeColor="text1"/>
              </w:rPr>
              <w:t>.0</w:t>
            </w:r>
          </w:p>
        </w:tc>
      </w:tr>
      <w:tr w:rsidR="005B3161" w:rsidTr="00DC2364">
        <w:trPr>
          <w:trHeight w:hRule="exact" w:val="43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5B3161" w:rsidRDefault="005B3161" w:rsidP="007C4AC7">
            <w:pPr>
              <w:pStyle w:val="NormalWeb"/>
              <w:spacing w:before="120" w:beforeAutospacing="0" w:after="120" w:afterAutospacing="0" w:line="360" w:lineRule="auto"/>
              <w:jc w:val="center"/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Theme="majorHAnsi" w:hAnsiTheme="majorHAnsi" w:cs="Arial"/>
                <w:color w:val="000000" w:themeColor="text1"/>
              </w:rPr>
              <w:t>Average</w:t>
            </w:r>
          </w:p>
        </w:tc>
        <w:tc>
          <w:tcPr>
            <w:tcW w:w="3600" w:type="dxa"/>
          </w:tcPr>
          <w:p w:rsidR="005B3161" w:rsidRPr="007C4AC7" w:rsidRDefault="00892F7A" w:rsidP="007C4AC7">
            <w:pPr>
              <w:pStyle w:val="NormalWeb"/>
              <w:keepNext/>
              <w:spacing w:before="120" w:beforeAutospacing="0" w:after="120" w:afterAutospacing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000000" w:themeColor="text1"/>
              </w:rPr>
            </w:pPr>
            <w:r w:rsidRPr="007C4AC7">
              <w:rPr>
                <w:rFonts w:asciiTheme="majorHAnsi" w:hAnsiTheme="majorHAnsi" w:cs="Arial"/>
                <w:b/>
                <w:color w:val="000000" w:themeColor="text1"/>
              </w:rPr>
              <w:fldChar w:fldCharType="begin"/>
            </w:r>
            <w:r w:rsidRPr="007C4AC7">
              <w:rPr>
                <w:rFonts w:asciiTheme="majorHAnsi" w:hAnsiTheme="majorHAnsi" w:cs="Arial"/>
                <w:b/>
                <w:color w:val="000000" w:themeColor="text1"/>
              </w:rPr>
              <w:instrText xml:space="preserve"> =average(above) \# "0.00" </w:instrText>
            </w:r>
            <w:r w:rsidRPr="007C4AC7">
              <w:rPr>
                <w:rFonts w:asciiTheme="majorHAnsi" w:hAnsiTheme="majorHAnsi" w:cs="Arial"/>
                <w:b/>
                <w:color w:val="000000" w:themeColor="text1"/>
              </w:rPr>
              <w:fldChar w:fldCharType="separate"/>
            </w:r>
            <w:r w:rsidRPr="007C4AC7">
              <w:rPr>
                <w:rFonts w:asciiTheme="majorHAnsi" w:hAnsiTheme="majorHAnsi" w:cs="Arial"/>
                <w:b/>
                <w:noProof/>
                <w:color w:val="000000" w:themeColor="text1"/>
              </w:rPr>
              <w:t>4.20</w:t>
            </w:r>
            <w:r w:rsidRPr="007C4AC7">
              <w:rPr>
                <w:rFonts w:asciiTheme="majorHAnsi" w:hAnsiTheme="majorHAnsi" w:cs="Arial"/>
                <w:b/>
                <w:color w:val="000000" w:themeColor="text1"/>
              </w:rPr>
              <w:fldChar w:fldCharType="end"/>
            </w:r>
            <w:r w:rsidRPr="007C4AC7">
              <w:rPr>
                <w:rFonts w:asciiTheme="majorHAnsi" w:hAnsiTheme="majorHAnsi" w:cs="Arial"/>
                <w:b/>
                <w:color w:val="000000" w:themeColor="text1"/>
              </w:rPr>
              <w:fldChar w:fldCharType="begin"/>
            </w:r>
            <w:r w:rsidRPr="007C4AC7">
              <w:rPr>
                <w:rFonts w:asciiTheme="majorHAnsi" w:hAnsiTheme="majorHAnsi" w:cs="Arial"/>
                <w:b/>
                <w:color w:val="000000" w:themeColor="text1"/>
              </w:rPr>
              <w:instrText xml:space="preserve"> AVERAGE(above) </w:instrText>
            </w:r>
            <w:r w:rsidRPr="007C4AC7">
              <w:rPr>
                <w:rFonts w:asciiTheme="majorHAnsi" w:hAnsiTheme="majorHAnsi" w:cs="Arial"/>
                <w:b/>
                <w:color w:val="000000" w:themeColor="text1"/>
              </w:rPr>
              <w:fldChar w:fldCharType="end"/>
            </w:r>
          </w:p>
        </w:tc>
      </w:tr>
    </w:tbl>
    <w:p w:rsidR="005B3161" w:rsidRPr="0095704C" w:rsidRDefault="007C4AC7" w:rsidP="007C4AC7">
      <w:pPr>
        <w:pStyle w:val="Caption"/>
        <w:jc w:val="right"/>
        <w:rPr>
          <w:rFonts w:asciiTheme="majorHAnsi" w:hAnsiTheme="majorHAnsi" w:cs="Arial"/>
          <w:color w:val="000000" w:themeColor="text1"/>
          <w:sz w:val="24"/>
          <w:szCs w:val="24"/>
        </w:rPr>
      </w:pPr>
      <w:r>
        <w:t>2021 Inflation Rates for G7 Countries</w:t>
      </w:r>
    </w:p>
    <w:p w:rsidR="0060627B" w:rsidRPr="0095704C" w:rsidRDefault="003B4341" w:rsidP="0095704C">
      <w:pPr>
        <w:spacing w:line="360" w:lineRule="auto"/>
        <w:ind w:firstLine="720"/>
        <w:jc w:val="both"/>
        <w:rPr>
          <w:rFonts w:asciiTheme="majorHAnsi" w:hAnsiTheme="majorHAnsi"/>
          <w:sz w:val="24"/>
          <w:szCs w:val="24"/>
        </w:rPr>
      </w:pPr>
    </w:p>
    <w:p w:rsidR="00BA3B96" w:rsidRPr="0095704C" w:rsidRDefault="00BA3B96" w:rsidP="0095704C">
      <w:pPr>
        <w:spacing w:line="360" w:lineRule="auto"/>
        <w:ind w:firstLine="720"/>
        <w:jc w:val="both"/>
        <w:rPr>
          <w:rFonts w:asciiTheme="majorHAnsi" w:hAnsiTheme="majorHAnsi"/>
          <w:sz w:val="24"/>
          <w:szCs w:val="24"/>
        </w:rPr>
      </w:pPr>
    </w:p>
    <w:sectPr w:rsidR="00BA3B96" w:rsidRPr="0095704C" w:rsidSect="0095704C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924" w:rsidRDefault="00230924" w:rsidP="00230924">
      <w:pPr>
        <w:spacing w:after="0" w:line="240" w:lineRule="auto"/>
      </w:pPr>
      <w:r>
        <w:separator/>
      </w:r>
    </w:p>
  </w:endnote>
  <w:endnote w:type="continuationSeparator" w:id="0">
    <w:p w:rsidR="00230924" w:rsidRDefault="00230924" w:rsidP="0023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5DD" w:rsidRDefault="00B555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38082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DA5081" w:rsidRDefault="00DA508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4341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DA5081" w:rsidRDefault="00DA50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5DD" w:rsidRDefault="00B555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924" w:rsidRDefault="00230924" w:rsidP="00230924">
      <w:pPr>
        <w:spacing w:after="0" w:line="240" w:lineRule="auto"/>
      </w:pPr>
      <w:r>
        <w:separator/>
      </w:r>
    </w:p>
  </w:footnote>
  <w:footnote w:type="continuationSeparator" w:id="0">
    <w:p w:rsidR="00230924" w:rsidRDefault="00230924" w:rsidP="00230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924" w:rsidRDefault="002309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924" w:rsidRPr="00DA5081" w:rsidRDefault="00DA5081">
    <w:pPr>
      <w:pStyle w:val="Header"/>
      <w:rPr>
        <w:rFonts w:ascii="Verdana" w:hAnsi="Verdana"/>
        <w:b/>
        <w:sz w:val="48"/>
        <w:szCs w:val="48"/>
      </w:rPr>
    </w:pPr>
    <w:r w:rsidRPr="00DA5081">
      <w:rPr>
        <w:rFonts w:ascii="Verdana" w:hAnsi="Verdana"/>
        <w:b/>
        <w:sz w:val="48"/>
        <w:szCs w:val="48"/>
      </w:rPr>
      <w:t>What is inflation?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924" w:rsidRDefault="002309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B15"/>
    <w:rsid w:val="00003C1B"/>
    <w:rsid w:val="0002740E"/>
    <w:rsid w:val="00033324"/>
    <w:rsid w:val="00074A8C"/>
    <w:rsid w:val="00090D54"/>
    <w:rsid w:val="000958BF"/>
    <w:rsid w:val="000E20E9"/>
    <w:rsid w:val="00197279"/>
    <w:rsid w:val="00214811"/>
    <w:rsid w:val="0021732D"/>
    <w:rsid w:val="00230924"/>
    <w:rsid w:val="00245F8F"/>
    <w:rsid w:val="002E045D"/>
    <w:rsid w:val="002E40CD"/>
    <w:rsid w:val="00304D7D"/>
    <w:rsid w:val="00313B35"/>
    <w:rsid w:val="003B4341"/>
    <w:rsid w:val="003E7110"/>
    <w:rsid w:val="004159E9"/>
    <w:rsid w:val="0042307C"/>
    <w:rsid w:val="00452F1C"/>
    <w:rsid w:val="004F72B9"/>
    <w:rsid w:val="00530C1A"/>
    <w:rsid w:val="00530CDB"/>
    <w:rsid w:val="005A66FE"/>
    <w:rsid w:val="005B3161"/>
    <w:rsid w:val="00685068"/>
    <w:rsid w:val="0068563A"/>
    <w:rsid w:val="006D3CF3"/>
    <w:rsid w:val="00761076"/>
    <w:rsid w:val="007C4AC7"/>
    <w:rsid w:val="008221A3"/>
    <w:rsid w:val="00872485"/>
    <w:rsid w:val="00892F7A"/>
    <w:rsid w:val="008B1B15"/>
    <w:rsid w:val="008F3D94"/>
    <w:rsid w:val="009370A3"/>
    <w:rsid w:val="0095704C"/>
    <w:rsid w:val="00965ECC"/>
    <w:rsid w:val="009D1CE8"/>
    <w:rsid w:val="00B555DD"/>
    <w:rsid w:val="00BA3B96"/>
    <w:rsid w:val="00C50CF3"/>
    <w:rsid w:val="00C91F2A"/>
    <w:rsid w:val="00CB75AD"/>
    <w:rsid w:val="00CD552E"/>
    <w:rsid w:val="00D208C0"/>
    <w:rsid w:val="00D8792F"/>
    <w:rsid w:val="00DA5081"/>
    <w:rsid w:val="00DA51B6"/>
    <w:rsid w:val="00DC2364"/>
    <w:rsid w:val="00DF6363"/>
    <w:rsid w:val="00E067C6"/>
    <w:rsid w:val="00E323D8"/>
    <w:rsid w:val="00E762EF"/>
    <w:rsid w:val="00E95A7F"/>
    <w:rsid w:val="00F46A7D"/>
    <w:rsid w:val="00FA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B1B1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092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924"/>
  </w:style>
  <w:style w:type="paragraph" w:styleId="Footer">
    <w:name w:val="footer"/>
    <w:basedOn w:val="Normal"/>
    <w:link w:val="FooterChar"/>
    <w:uiPriority w:val="99"/>
    <w:unhideWhenUsed/>
    <w:rsid w:val="0023092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924"/>
  </w:style>
  <w:style w:type="paragraph" w:styleId="BalloonText">
    <w:name w:val="Balloon Text"/>
    <w:basedOn w:val="Normal"/>
    <w:link w:val="BalloonTextChar"/>
    <w:uiPriority w:val="99"/>
    <w:semiHidden/>
    <w:unhideWhenUsed/>
    <w:rsid w:val="00B55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5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3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C4AC7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MediumGrid1-Accent4">
    <w:name w:val="Medium Grid 1 Accent 4"/>
    <w:basedOn w:val="TableNormal"/>
    <w:uiPriority w:val="67"/>
    <w:rsid w:val="007C4AC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B1B1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092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924"/>
  </w:style>
  <w:style w:type="paragraph" w:styleId="Footer">
    <w:name w:val="footer"/>
    <w:basedOn w:val="Normal"/>
    <w:link w:val="FooterChar"/>
    <w:uiPriority w:val="99"/>
    <w:unhideWhenUsed/>
    <w:rsid w:val="0023092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924"/>
  </w:style>
  <w:style w:type="paragraph" w:styleId="BalloonText">
    <w:name w:val="Balloon Text"/>
    <w:basedOn w:val="Normal"/>
    <w:link w:val="BalloonTextChar"/>
    <w:uiPriority w:val="99"/>
    <w:semiHidden/>
    <w:unhideWhenUsed/>
    <w:rsid w:val="00B55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5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3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C4AC7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MediumGrid1-Accent4">
    <w:name w:val="Medium Grid 1 Accent 4"/>
    <w:basedOn w:val="TableNormal"/>
    <w:uiPriority w:val="67"/>
    <w:rsid w:val="007C4AC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Economics" TargetMode="External"/><Relationship Id="rId13" Type="http://schemas.openxmlformats.org/officeDocument/2006/relationships/hyperlink" Target="https://en.wikipedia.org/wiki/Consumer_price_index" TargetMode="External"/><Relationship Id="rId18" Type="http://schemas.openxmlformats.org/officeDocument/2006/relationships/hyperlink" Target="https://en.wikipedia.org/wiki/Velocity_of_money" TargetMode="External"/><Relationship Id="rId26" Type="http://schemas.openxmlformats.org/officeDocument/2006/relationships/hyperlink" Target="https://en.wikipedia.org/wiki/Nominal_rigidity" TargetMode="External"/><Relationship Id="rId39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s://en.wikipedia.org/wiki/Hyperinflation" TargetMode="External"/><Relationship Id="rId34" Type="http://schemas.openxmlformats.org/officeDocument/2006/relationships/hyperlink" Target="https://en.wikipedia.org/wiki/Central_bank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Index_(economics)" TargetMode="External"/><Relationship Id="rId17" Type="http://schemas.openxmlformats.org/officeDocument/2006/relationships/hyperlink" Target="https://en.wikipedia.org/wiki/Money_supply" TargetMode="External"/><Relationship Id="rId25" Type="http://schemas.openxmlformats.org/officeDocument/2006/relationships/hyperlink" Target="https://en.wikipedia.org/wiki/Unemployment" TargetMode="External"/><Relationship Id="rId33" Type="http://schemas.openxmlformats.org/officeDocument/2006/relationships/hyperlink" Target="https://en.wikipedia.org/wiki/Monetary_authority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Inflation" TargetMode="External"/><Relationship Id="rId20" Type="http://schemas.openxmlformats.org/officeDocument/2006/relationships/hyperlink" Target="https://en.wikipedia.org/wiki/Neutrality_of_money" TargetMode="External"/><Relationship Id="rId29" Type="http://schemas.openxmlformats.org/officeDocument/2006/relationships/hyperlink" Target="https://en.wikipedia.org/wiki/Deflation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Price_index" TargetMode="External"/><Relationship Id="rId24" Type="http://schemas.openxmlformats.org/officeDocument/2006/relationships/hyperlink" Target="https://en.wikipedia.org/wiki/Hoarding_(economics)" TargetMode="External"/><Relationship Id="rId32" Type="http://schemas.openxmlformats.org/officeDocument/2006/relationships/hyperlink" Target="https://en.wikipedia.org/wiki/Monetary_policy" TargetMode="External"/><Relationship Id="rId37" Type="http://schemas.openxmlformats.org/officeDocument/2006/relationships/hyperlink" Target="https://en.wikipedia.org/wiki/Reserve_requirements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Standard_of_living" TargetMode="External"/><Relationship Id="rId23" Type="http://schemas.openxmlformats.org/officeDocument/2006/relationships/hyperlink" Target="https://en.wikipedia.org/wiki/Good_(economics)" TargetMode="External"/><Relationship Id="rId28" Type="http://schemas.openxmlformats.org/officeDocument/2006/relationships/image" Target="media/image1.jpg"/><Relationship Id="rId36" Type="http://schemas.openxmlformats.org/officeDocument/2006/relationships/hyperlink" Target="https://en.wikipedia.org/wiki/Open_market_operation" TargetMode="External"/><Relationship Id="rId10" Type="http://schemas.openxmlformats.org/officeDocument/2006/relationships/hyperlink" Target="https://en.wikipedia.org/wiki/Deflation" TargetMode="External"/><Relationship Id="rId19" Type="http://schemas.openxmlformats.org/officeDocument/2006/relationships/hyperlink" Target="https://en.wikipedia.org/wiki/Causality" TargetMode="External"/><Relationship Id="rId31" Type="http://schemas.openxmlformats.org/officeDocument/2006/relationships/hyperlink" Target="https://en.wikipedia.org/wiki/Liquidity_trap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Purchasing_power" TargetMode="External"/><Relationship Id="rId14" Type="http://schemas.openxmlformats.org/officeDocument/2006/relationships/hyperlink" Target="https://en.wikipedia.org/wiki/Employment_cost_index" TargetMode="External"/><Relationship Id="rId22" Type="http://schemas.openxmlformats.org/officeDocument/2006/relationships/hyperlink" Target="https://en.wikipedia.org/wiki/Opportunity_cost" TargetMode="External"/><Relationship Id="rId27" Type="http://schemas.openxmlformats.org/officeDocument/2006/relationships/hyperlink" Target="https://en.wikipedia.org/wiki/Monetary_policy" TargetMode="External"/><Relationship Id="rId30" Type="http://schemas.openxmlformats.org/officeDocument/2006/relationships/hyperlink" Target="https://en.wikipedia.org/wiki/Recessions" TargetMode="External"/><Relationship Id="rId35" Type="http://schemas.openxmlformats.org/officeDocument/2006/relationships/hyperlink" Target="https://en.wikipedia.org/wiki/Interest_rate" TargetMode="External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F30AD-AFB4-4B31-8C62-3C6056FF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40</cp:revision>
  <dcterms:created xsi:type="dcterms:W3CDTF">2022-02-18T08:05:00Z</dcterms:created>
  <dcterms:modified xsi:type="dcterms:W3CDTF">2022-03-22T09:42:00Z</dcterms:modified>
</cp:coreProperties>
</file>